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整流纯水冷却系统维保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见附件：维保内容（需现场查勘）。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于2023年05月31日前完成施工并交付验收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为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 w:bidi="ar-SA"/>
        </w:rPr>
        <w:t>电气冷却器生产维修单位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，出具报告，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4月21日14:00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0D451346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6AC0C53"/>
    <w:rsid w:val="4968786D"/>
    <w:rsid w:val="4A9D5D4B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47001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372</Characters>
  <Lines>0</Lines>
  <Paragraphs>0</Paragraphs>
  <TotalTime>1</TotalTime>
  <ScaleCrop>false</ScaleCrop>
  <LinksUpToDate>false</LinksUpToDate>
  <CharactersWithSpaces>405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2023-04-14T02:34:27Z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